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</w:rPr>
        <w:t>福州大学厦门工艺美术学院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</w:rPr>
        <w:t>年招收硕士研究生调剂</w:t>
      </w:r>
      <w:r>
        <w:rPr>
          <w:rFonts w:hint="eastAsia" w:ascii="方正小标宋简体" w:eastAsia="方正小标宋简体"/>
          <w:b/>
          <w:bCs/>
          <w:color w:val="000000"/>
          <w:spacing w:val="20"/>
          <w:sz w:val="36"/>
          <w:szCs w:val="36"/>
          <w:lang w:val="en-US" w:eastAsia="zh-CN"/>
        </w:rPr>
        <w:t>公告</w:t>
      </w:r>
    </w:p>
    <w:p>
      <w:pPr>
        <w:shd w:val="clear" w:color="auto" w:fill="auto"/>
        <w:jc w:val="center"/>
        <w:rPr>
          <w:rFonts w:hint="default" w:ascii="方正小标宋简体" w:eastAsia="方正小标宋简体"/>
          <w:b/>
          <w:bCs/>
          <w:color w:val="000000"/>
          <w:spacing w:val="20"/>
          <w:sz w:val="36"/>
          <w:szCs w:val="36"/>
          <w:lang w:val="en-US" w:eastAsia="zh-CN"/>
        </w:rPr>
      </w:pPr>
    </w:p>
    <w:p>
      <w:pPr>
        <w:spacing w:line="440" w:lineRule="exact"/>
        <w:ind w:firstLine="560" w:firstLineChars="200"/>
        <w:rPr>
          <w:sz w:val="28"/>
          <w:szCs w:val="36"/>
        </w:rPr>
      </w:pPr>
    </w:p>
    <w:p>
      <w:pPr>
        <w:spacing w:line="440" w:lineRule="exact"/>
        <w:ind w:firstLine="700" w:firstLineChars="25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根据《福州大学2021年硕士研究生招生复试录取办法》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福大研〔2021〕8号</w:t>
      </w:r>
      <w:r>
        <w:rPr>
          <w:rFonts w:hint="eastAsia"/>
          <w:sz w:val="28"/>
          <w:szCs w:val="36"/>
          <w:lang w:eastAsia="zh-CN"/>
        </w:rPr>
        <w:t>）《福州大学2021年硕士研究生招生调剂公告》</w:t>
      </w:r>
      <w:r>
        <w:rPr>
          <w:rFonts w:hint="eastAsia"/>
          <w:sz w:val="28"/>
          <w:szCs w:val="36"/>
        </w:rPr>
        <w:t>的文件精神及我</w:t>
      </w:r>
      <w:r>
        <w:rPr>
          <w:rFonts w:hint="eastAsia"/>
          <w:sz w:val="28"/>
          <w:szCs w:val="36"/>
          <w:lang w:val="en-US" w:eastAsia="zh-CN"/>
        </w:rPr>
        <w:t>院</w:t>
      </w:r>
      <w:r>
        <w:rPr>
          <w:rFonts w:hint="eastAsia"/>
          <w:sz w:val="28"/>
          <w:szCs w:val="36"/>
        </w:rPr>
        <w:t>第一志愿考生初试基本情况，结合学院实际情况，特制定以下调剂办法。</w:t>
      </w:r>
    </w:p>
    <w:p>
      <w:pPr>
        <w:spacing w:line="480" w:lineRule="auto"/>
        <w:ind w:firstLine="562" w:firstLineChars="200"/>
        <w:rPr>
          <w:rFonts w:eastAsia="黑体"/>
          <w:b/>
          <w:bCs/>
          <w:sz w:val="28"/>
          <w:szCs w:val="36"/>
        </w:rPr>
      </w:pPr>
      <w:r>
        <w:rPr>
          <w:rFonts w:hint="eastAsia" w:eastAsia="黑体"/>
          <w:b/>
          <w:bCs/>
          <w:sz w:val="28"/>
          <w:szCs w:val="36"/>
        </w:rPr>
        <w:t>一、调剂专业</w:t>
      </w:r>
    </w:p>
    <w:tbl>
      <w:tblPr>
        <w:tblStyle w:val="7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114"/>
        <w:gridCol w:w="1227"/>
        <w:gridCol w:w="1328"/>
        <w:gridCol w:w="1277"/>
        <w:gridCol w:w="1315"/>
        <w:gridCol w:w="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分专业</w:t>
            </w:r>
          </w:p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已接收</w:t>
            </w:r>
          </w:p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推免生数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待录取</w:t>
            </w:r>
          </w:p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统考生数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复试人数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一志愿</w:t>
            </w:r>
          </w:p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上线人数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需</w:t>
            </w:r>
            <w:r>
              <w:rPr>
                <w:kern w:val="0"/>
                <w:sz w:val="24"/>
              </w:rPr>
              <w:t>调剂</w:t>
            </w:r>
            <w:r>
              <w:rPr>
                <w:bCs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复试人数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130400</w:t>
            </w:r>
          </w:p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</w:tbl>
    <w:p>
      <w:pPr>
        <w:spacing w:line="480" w:lineRule="auto"/>
        <w:ind w:firstLine="562" w:firstLineChars="200"/>
        <w:rPr>
          <w:rFonts w:eastAsia="黑体"/>
          <w:b/>
          <w:bCs/>
          <w:sz w:val="28"/>
          <w:szCs w:val="36"/>
        </w:rPr>
      </w:pPr>
      <w:r>
        <w:rPr>
          <w:rFonts w:hint="eastAsia" w:eastAsia="黑体"/>
          <w:b/>
          <w:bCs/>
          <w:sz w:val="28"/>
          <w:szCs w:val="36"/>
        </w:rPr>
        <w:t>二、</w:t>
      </w:r>
      <w:r>
        <w:rPr>
          <w:rFonts w:eastAsia="黑体"/>
          <w:b/>
          <w:bCs/>
          <w:sz w:val="28"/>
          <w:szCs w:val="36"/>
        </w:rPr>
        <w:t>调剂复试基本要求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sz w:val="28"/>
          <w:szCs w:val="36"/>
        </w:rPr>
        <w:t>符合调入专业的报考条件。</w:t>
      </w:r>
      <w:r>
        <w:rPr>
          <w:rFonts w:hint="eastAsia"/>
          <w:sz w:val="28"/>
          <w:szCs w:val="36"/>
        </w:rPr>
        <w:t>全日制研究生不接受同等学力考生（专科考生、成人应届本科考生、复试时尚未取得本科毕业证的自考和网络教育考生、本科结业考生）调剂。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sz w:val="28"/>
          <w:szCs w:val="36"/>
        </w:rPr>
        <w:t>初试成绩符合第一志愿报考专业国家A类复试基本分数要求。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调入专业与第一志愿报考专业相同或相近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且在同一学科门类范围内</w:t>
      </w:r>
      <w:r>
        <w:rPr>
          <w:sz w:val="28"/>
          <w:szCs w:val="36"/>
        </w:rPr>
        <w:t>。</w:t>
      </w:r>
      <w:r>
        <w:rPr>
          <w:rFonts w:hint="eastAsia"/>
          <w:sz w:val="28"/>
          <w:szCs w:val="36"/>
        </w:rPr>
        <w:t>因我院</w:t>
      </w:r>
      <w:r>
        <w:rPr>
          <w:rFonts w:hint="eastAsia"/>
          <w:b/>
          <w:bCs/>
          <w:sz w:val="28"/>
          <w:szCs w:val="36"/>
        </w:rPr>
        <w:t>漆画方向生源充足，不接受调入方向为漆画方向的调剂申请。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sz w:val="28"/>
          <w:szCs w:val="36"/>
        </w:rPr>
        <w:t>初试科目与调入专业初试科目相同或相近，其中统考科目原则上应当相同。</w:t>
      </w:r>
      <w:r>
        <w:rPr>
          <w:b/>
          <w:bCs/>
          <w:sz w:val="28"/>
          <w:szCs w:val="36"/>
        </w:rPr>
        <w:t>只接收初试外国语科目为英语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b/>
          <w:bCs/>
          <w:sz w:val="28"/>
          <w:szCs w:val="36"/>
        </w:rPr>
        <w:t>的考生。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sz w:val="28"/>
          <w:szCs w:val="36"/>
        </w:rPr>
        <w:t>对申请同一专业的调剂考生，如果第一志愿报考单位和专业完全相同、初试科目完全相同，应当按考生初试成绩择优遴选进入复试的考生名单。</w:t>
      </w:r>
    </w:p>
    <w:p>
      <w:pPr>
        <w:spacing w:line="480" w:lineRule="auto"/>
        <w:ind w:firstLine="562" w:firstLineChars="200"/>
        <w:rPr>
          <w:rFonts w:eastAsia="黑体"/>
          <w:b/>
          <w:bCs/>
          <w:sz w:val="28"/>
          <w:szCs w:val="36"/>
        </w:rPr>
      </w:pPr>
      <w:r>
        <w:rPr>
          <w:rFonts w:hint="eastAsia" w:eastAsia="黑体"/>
          <w:b/>
          <w:bCs/>
          <w:sz w:val="28"/>
          <w:szCs w:val="36"/>
        </w:rPr>
        <w:t>三、</w:t>
      </w:r>
      <w:r>
        <w:rPr>
          <w:rFonts w:eastAsia="黑体"/>
          <w:b/>
          <w:bCs/>
          <w:sz w:val="28"/>
          <w:szCs w:val="36"/>
        </w:rPr>
        <w:t>调剂</w:t>
      </w:r>
      <w:r>
        <w:rPr>
          <w:rFonts w:hint="eastAsia" w:eastAsia="黑体"/>
          <w:b/>
          <w:bCs/>
          <w:sz w:val="28"/>
          <w:szCs w:val="36"/>
        </w:rPr>
        <w:t>申请办法及调剂生复试名单确定规则</w:t>
      </w:r>
    </w:p>
    <w:p>
      <w:pPr>
        <w:numPr>
          <w:ilvl w:val="0"/>
          <w:numId w:val="2"/>
        </w:numPr>
        <w:spacing w:line="440" w:lineRule="exact"/>
        <w:ind w:left="0"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我校所有调剂工作均通过调剂系统进行。我院调剂报名截止时间为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月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0日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09</w:t>
      </w:r>
      <w:r>
        <w:rPr>
          <w:rFonts w:hint="eastAsia"/>
          <w:sz w:val="28"/>
          <w:szCs w:val="36"/>
          <w:shd w:val="clear" w:color="auto" w:fill="auto"/>
        </w:rPr>
        <w:t>:00。</w:t>
      </w:r>
      <w:r>
        <w:rPr>
          <w:rFonts w:hint="eastAsia"/>
          <w:sz w:val="28"/>
          <w:szCs w:val="36"/>
        </w:rPr>
        <w:t>在调剂系统开通时限内，我</w:t>
      </w:r>
      <w:r>
        <w:rPr>
          <w:rFonts w:hint="eastAsia"/>
          <w:sz w:val="28"/>
          <w:szCs w:val="36"/>
          <w:lang w:val="en-US" w:eastAsia="zh-CN"/>
        </w:rPr>
        <w:t>院</w:t>
      </w:r>
      <w:r>
        <w:rPr>
          <w:rFonts w:hint="eastAsia"/>
          <w:sz w:val="28"/>
          <w:szCs w:val="36"/>
        </w:rPr>
        <w:t>专业缺额情况将及时在系统里公布，每次开放调剂持续时间不少于12个小时，意向考生应事先查看报考学院的调剂相关公告，符合调剂要求的考生，须登陆调剂系统填报志愿。我</w:t>
      </w:r>
      <w:r>
        <w:rPr>
          <w:rFonts w:hint="eastAsia"/>
          <w:sz w:val="28"/>
          <w:szCs w:val="36"/>
          <w:lang w:val="en-US" w:eastAsia="zh-CN"/>
        </w:rPr>
        <w:t>院</w:t>
      </w:r>
      <w:r>
        <w:rPr>
          <w:rFonts w:hint="eastAsia"/>
          <w:sz w:val="28"/>
          <w:szCs w:val="36"/>
        </w:rPr>
        <w:t>将在系统中受理调剂申请。</w:t>
      </w:r>
    </w:p>
    <w:p>
      <w:pPr>
        <w:numPr>
          <w:ilvl w:val="0"/>
          <w:numId w:val="2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确定调剂考生复试名单时，依次按照如下（1）、（2）顺序遴选：</w:t>
      </w:r>
    </w:p>
    <w:p>
      <w:pPr>
        <w:spacing w:line="440" w:lineRule="exact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）调剂考生报考的第一志愿学校相关学科在全国第四轮学科评估中为A等级的（含A+、A、A-）及B+等级，按照初试成绩由高到低择优遴选进复试的考生名单。</w:t>
      </w:r>
    </w:p>
    <w:p>
      <w:pPr>
        <w:spacing w:line="440" w:lineRule="exact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（2）其他申请调剂考生按照初试成绩由高到低排列确定复试名单。</w:t>
      </w:r>
    </w:p>
    <w:p>
      <w:pPr>
        <w:numPr>
          <w:ilvl w:val="0"/>
          <w:numId w:val="2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我院于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月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0日1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5</w:t>
      </w:r>
      <w:r>
        <w:rPr>
          <w:rFonts w:hint="eastAsia"/>
          <w:sz w:val="28"/>
          <w:szCs w:val="36"/>
          <w:shd w:val="clear" w:color="auto" w:fill="auto"/>
        </w:rPr>
        <w:t>:00</w:t>
      </w:r>
      <w:r>
        <w:rPr>
          <w:rFonts w:hint="eastAsia"/>
          <w:sz w:val="28"/>
          <w:szCs w:val="36"/>
        </w:rPr>
        <w:t>前根据公布的调剂生选拔规则，并经集体研究后确定入围复试的调剂考生名单并</w:t>
      </w:r>
      <w:r>
        <w:rPr>
          <w:rFonts w:hint="eastAsia"/>
          <w:sz w:val="28"/>
          <w:szCs w:val="36"/>
          <w:lang w:val="en-US" w:eastAsia="zh-CN"/>
        </w:rPr>
        <w:t>通过调剂系统</w:t>
      </w:r>
      <w:r>
        <w:rPr>
          <w:rFonts w:hint="eastAsia"/>
          <w:sz w:val="28"/>
          <w:szCs w:val="36"/>
        </w:rPr>
        <w:t>发复试通知。</w:t>
      </w:r>
    </w:p>
    <w:p>
      <w:pPr>
        <w:numPr>
          <w:ilvl w:val="0"/>
          <w:numId w:val="2"/>
        </w:numPr>
        <w:spacing w:line="440" w:lineRule="exact"/>
        <w:ind w:left="0"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申请调剂的考生收到复试通知后，</w:t>
      </w:r>
      <w:r>
        <w:rPr>
          <w:rFonts w:hint="eastAsia"/>
          <w:sz w:val="28"/>
          <w:szCs w:val="36"/>
          <w:lang w:val="en-US" w:eastAsia="zh-CN"/>
        </w:rPr>
        <w:t>须</w:t>
      </w:r>
      <w:r>
        <w:rPr>
          <w:rFonts w:hint="eastAsia"/>
          <w:sz w:val="28"/>
          <w:szCs w:val="36"/>
        </w:rPr>
        <w:t>于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月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3</w:t>
      </w:r>
      <w:r>
        <w:rPr>
          <w:rFonts w:hint="eastAsia"/>
          <w:sz w:val="28"/>
          <w:szCs w:val="36"/>
          <w:shd w:val="clear" w:color="auto" w:fill="auto"/>
        </w:rPr>
        <w:t>0日1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6</w:t>
      </w:r>
      <w:r>
        <w:rPr>
          <w:rFonts w:hint="eastAsia"/>
          <w:sz w:val="28"/>
          <w:szCs w:val="36"/>
          <w:shd w:val="clear" w:color="auto" w:fill="auto"/>
        </w:rPr>
        <w:t>:</w:t>
      </w:r>
      <w:r>
        <w:rPr>
          <w:rFonts w:hint="eastAsia"/>
          <w:sz w:val="28"/>
          <w:szCs w:val="36"/>
          <w:shd w:val="clear" w:color="auto" w:fill="auto"/>
          <w:lang w:val="en-US" w:eastAsia="zh-CN"/>
        </w:rPr>
        <w:t>0</w:t>
      </w:r>
      <w:r>
        <w:rPr>
          <w:rFonts w:hint="eastAsia"/>
          <w:sz w:val="28"/>
          <w:szCs w:val="36"/>
          <w:shd w:val="clear" w:color="auto" w:fill="auto"/>
        </w:rPr>
        <w:t>0</w:t>
      </w:r>
      <w:r>
        <w:rPr>
          <w:rFonts w:hint="eastAsia"/>
          <w:sz w:val="28"/>
          <w:szCs w:val="36"/>
        </w:rPr>
        <w:t>前填写《福州大学202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年硕士研究生调剂申请表》发送至460098213@qq.com，邮件主题：考生姓名+拟调剂专业。逾期未回复视为放弃此次调剂复试资格。</w:t>
      </w:r>
    </w:p>
    <w:p>
      <w:pPr>
        <w:spacing w:line="480" w:lineRule="auto"/>
        <w:ind w:firstLine="562" w:firstLineChars="200"/>
        <w:rPr>
          <w:rFonts w:hint="default" w:eastAsia="黑体"/>
          <w:b/>
          <w:bCs/>
          <w:sz w:val="28"/>
          <w:szCs w:val="36"/>
          <w:lang w:val="en-US" w:eastAsia="zh-CN"/>
        </w:rPr>
      </w:pPr>
      <w:r>
        <w:rPr>
          <w:rFonts w:hint="eastAsia" w:eastAsia="黑体"/>
          <w:b/>
          <w:bCs/>
          <w:sz w:val="28"/>
          <w:szCs w:val="36"/>
        </w:rPr>
        <w:t>四、复试相关安排</w:t>
      </w:r>
      <w:r>
        <w:rPr>
          <w:rFonts w:hint="eastAsia" w:eastAsia="黑体"/>
          <w:b/>
          <w:bCs/>
          <w:sz w:val="28"/>
          <w:szCs w:val="36"/>
          <w:lang w:val="en-US" w:eastAsia="zh-CN"/>
        </w:rPr>
        <w:t>及注意事项</w:t>
      </w:r>
    </w:p>
    <w:p>
      <w:pPr>
        <w:numPr>
          <w:ilvl w:val="0"/>
          <w:numId w:val="3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调剂复试考生与一志愿考生同批复试。</w:t>
      </w:r>
    </w:p>
    <w:p>
      <w:pPr>
        <w:numPr>
          <w:ilvl w:val="0"/>
          <w:numId w:val="3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我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院</w:t>
      </w:r>
      <w:r>
        <w:rPr>
          <w:rFonts w:hint="eastAsia" w:ascii="Times New Roman" w:hAnsi="Times New Roman" w:eastAsia="宋体" w:cs="Times New Roman"/>
          <w:sz w:val="28"/>
          <w:szCs w:val="36"/>
        </w:rPr>
        <w:t>2021年采用网络远程方式组织硕士研究生招生复试，</w:t>
      </w:r>
      <w:r>
        <w:rPr>
          <w:rFonts w:hint="eastAsia"/>
          <w:sz w:val="28"/>
          <w:szCs w:val="36"/>
        </w:rPr>
        <w:t>复试的其它安排按照《福州大学厦门工艺美术学院202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年硕士研究生招生复试公告》和《福州大学厦门工艺美术学院202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年硕士研究生网络远程复试考生须知》执行。相关文件请</w:t>
      </w:r>
      <w:r>
        <w:rPr>
          <w:rFonts w:hint="eastAsia" w:ascii="Times New Roman" w:hAnsi="Times New Roman" w:eastAsia="宋体" w:cs="Times New Roman"/>
          <w:sz w:val="28"/>
          <w:szCs w:val="36"/>
        </w:rPr>
        <w:t>参加复试的考生及时</w:t>
      </w:r>
      <w:r>
        <w:rPr>
          <w:rFonts w:hint="eastAsia"/>
          <w:sz w:val="28"/>
          <w:szCs w:val="36"/>
        </w:rPr>
        <w:t>查阅学院网站“招生信息”下的“研究生招生”栏目（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 HYPERLINK "http://art.fzu.edu.cn/html/zsxx/yjszs" </w:instrText>
      </w:r>
      <w:r>
        <w:rPr>
          <w:sz w:val="20"/>
          <w:szCs w:val="22"/>
        </w:rPr>
        <w:fldChar w:fldCharType="separate"/>
      </w:r>
      <w:r>
        <w:rPr>
          <w:rStyle w:val="9"/>
          <w:rFonts w:hint="eastAsia"/>
          <w:color w:val="auto"/>
          <w:sz w:val="24"/>
          <w:szCs w:val="32"/>
        </w:rPr>
        <w:t>http://art.fzu.edu.cn/html/zsxx/yjszs</w:t>
      </w:r>
      <w:r>
        <w:rPr>
          <w:color w:val="auto"/>
          <w:sz w:val="24"/>
          <w:szCs w:val="32"/>
        </w:rPr>
        <w:fldChar w:fldCharType="end"/>
      </w:r>
      <w:r>
        <w:rPr>
          <w:rFonts w:hint="eastAsia"/>
          <w:sz w:val="28"/>
          <w:szCs w:val="36"/>
        </w:rPr>
        <w:t>）</w:t>
      </w:r>
      <w:r>
        <w:rPr>
          <w:rFonts w:hint="eastAsia" w:ascii="Times New Roman" w:hAnsi="Times New Roman" w:eastAsia="宋体" w:cs="Times New Roman"/>
          <w:sz w:val="28"/>
          <w:szCs w:val="36"/>
        </w:rPr>
        <w:t>，提前做好准备。</w:t>
      </w:r>
    </w:p>
    <w:p>
      <w:pPr>
        <w:numPr>
          <w:ilvl w:val="0"/>
          <w:numId w:val="3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因审核、遴选调剂考生需要一定的时间，考生填报调剂志愿结束后请耐心等待结果，切勿随意修改调剂学校和专业，由于考生本人修改志愿造成无法接收通知的，视为考生自动放弃复试或拟录取资格。</w:t>
      </w:r>
    </w:p>
    <w:p>
      <w:pPr>
        <w:spacing w:line="480" w:lineRule="auto"/>
        <w:ind w:firstLine="562" w:firstLineChars="200"/>
        <w:rPr>
          <w:rFonts w:eastAsia="黑体"/>
          <w:b/>
          <w:bCs/>
          <w:sz w:val="28"/>
          <w:szCs w:val="36"/>
        </w:rPr>
      </w:pPr>
      <w:r>
        <w:rPr>
          <w:rFonts w:hint="eastAsia" w:eastAsia="黑体"/>
          <w:b/>
          <w:bCs/>
          <w:sz w:val="28"/>
          <w:szCs w:val="36"/>
          <w:lang w:val="en-US" w:eastAsia="zh-CN"/>
        </w:rPr>
        <w:t>五</w:t>
      </w:r>
      <w:r>
        <w:rPr>
          <w:rFonts w:hint="eastAsia" w:eastAsia="黑体"/>
          <w:b/>
          <w:bCs/>
          <w:sz w:val="28"/>
          <w:szCs w:val="36"/>
        </w:rPr>
        <w:t>、咨询与申诉渠道</w:t>
      </w:r>
    </w:p>
    <w:p>
      <w:pPr>
        <w:numPr>
          <w:ilvl w:val="0"/>
          <w:numId w:val="4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学院</w:t>
      </w:r>
      <w:r>
        <w:rPr>
          <w:rFonts w:hint="eastAsia"/>
          <w:sz w:val="28"/>
          <w:szCs w:val="36"/>
        </w:rPr>
        <w:t>咨询联系人：高老师，联系电话：0592-3753773。</w:t>
      </w:r>
    </w:p>
    <w:p>
      <w:pPr>
        <w:numPr>
          <w:ilvl w:val="0"/>
          <w:numId w:val="4"/>
        </w:numPr>
        <w:spacing w:line="440" w:lineRule="exact"/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学院纪委监督电话：0592-3753</w:t>
      </w:r>
      <w:r>
        <w:rPr>
          <w:rFonts w:hint="eastAsia"/>
          <w:sz w:val="28"/>
          <w:szCs w:val="36"/>
          <w:lang w:val="en-US" w:eastAsia="zh-CN"/>
        </w:rPr>
        <w:t>808</w:t>
      </w:r>
      <w:r>
        <w:rPr>
          <w:rFonts w:hint="eastAsia"/>
          <w:sz w:val="28"/>
          <w:szCs w:val="36"/>
        </w:rPr>
        <w:t>，联系人：林老师，邮箱：734404693@qq.com。</w:t>
      </w:r>
    </w:p>
    <w:p>
      <w:pPr>
        <w:spacing w:line="440" w:lineRule="exact"/>
        <w:ind w:firstLine="700" w:firstLineChars="250"/>
        <w:rPr>
          <w:rFonts w:hint="eastAsia"/>
          <w:color w:val="0000FA"/>
          <w:sz w:val="28"/>
          <w:szCs w:val="36"/>
        </w:rPr>
      </w:pPr>
    </w:p>
    <w:p>
      <w:pPr>
        <w:spacing w:line="440" w:lineRule="exact"/>
        <w:ind w:firstLine="560" w:firstLineChars="200"/>
        <w:rPr>
          <w:sz w:val="28"/>
          <w:szCs w:val="36"/>
        </w:rPr>
      </w:pPr>
    </w:p>
    <w:p>
      <w:pPr>
        <w:spacing w:line="440" w:lineRule="exact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附件：《福州大学202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年硕士研究生调剂申请表》</w:t>
      </w:r>
    </w:p>
    <w:p>
      <w:pPr>
        <w:jc w:val="center"/>
        <w:rPr>
          <w:b/>
          <w:bCs/>
          <w:sz w:val="44"/>
        </w:rPr>
        <w:sectPr>
          <w:footerReference r:id="rId3" w:type="default"/>
          <w:pgSz w:w="11906" w:h="16838"/>
          <w:pgMar w:top="1354" w:right="1417" w:bottom="1134" w:left="1417" w:header="851" w:footer="850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福州大学202</w:t>
      </w:r>
      <w:r>
        <w:rPr>
          <w:rFonts w:hint="eastAsia"/>
          <w:b/>
          <w:bCs/>
          <w:sz w:val="44"/>
          <w:lang w:val="en-US" w:eastAsia="zh-CN"/>
        </w:rPr>
        <w:t>1</w:t>
      </w:r>
      <w:r>
        <w:rPr>
          <w:rFonts w:hint="eastAsia"/>
          <w:b/>
          <w:bCs/>
          <w:sz w:val="44"/>
        </w:rPr>
        <w:t>年硕士研究生调剂申请表</w:t>
      </w:r>
    </w:p>
    <w:bookmarkEnd w:id="0"/>
    <w:tbl>
      <w:tblPr>
        <w:tblStyle w:val="7"/>
        <w:tblW w:w="9288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61"/>
        <w:gridCol w:w="196"/>
        <w:gridCol w:w="589"/>
        <w:gridCol w:w="196"/>
        <w:gridCol w:w="185"/>
        <w:gridCol w:w="386"/>
        <w:gridCol w:w="791"/>
        <w:gridCol w:w="196"/>
        <w:gridCol w:w="557"/>
        <w:gridCol w:w="1013"/>
        <w:gridCol w:w="981"/>
        <w:gridCol w:w="15"/>
        <w:gridCol w:w="1162"/>
        <w:gridCol w:w="74"/>
        <w:gridCol w:w="90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04" w:type="dxa"/>
            <w:gridSpan w:val="7"/>
            <w:noWrap/>
            <w:vAlign w:val="center"/>
          </w:tcPr>
          <w:p/>
        </w:tc>
        <w:tc>
          <w:tcPr>
            <w:tcW w:w="176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8" w:type="dxa"/>
            <w:gridSpan w:val="3"/>
            <w:noWrap/>
            <w:vAlign w:val="center"/>
          </w:tcPr>
          <w:p/>
        </w:tc>
        <w:tc>
          <w:tcPr>
            <w:tcW w:w="98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104" w:type="dxa"/>
            <w:gridSpan w:val="7"/>
            <w:noWrap/>
            <w:vAlign w:val="center"/>
          </w:tcPr>
          <w:p/>
        </w:tc>
        <w:tc>
          <w:tcPr>
            <w:tcW w:w="176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1" w:type="dxa"/>
            <w:noWrap/>
            <w:vAlign w:val="center"/>
          </w:tcPr>
          <w:p/>
        </w:tc>
        <w:tc>
          <w:tcPr>
            <w:tcW w:w="117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19" w:type="dxa"/>
            <w:gridSpan w:val="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27" w:type="dxa"/>
            <w:gridSpan w:val="5"/>
            <w:noWrap/>
            <w:vAlign w:val="center"/>
          </w:tcPr>
          <w:p/>
        </w:tc>
        <w:tc>
          <w:tcPr>
            <w:tcW w:w="117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66" w:type="dxa"/>
            <w:gridSpan w:val="3"/>
            <w:noWrap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77" w:type="dxa"/>
            <w:gridSpan w:val="2"/>
            <w:noWrap/>
            <w:vAlign w:val="center"/>
          </w:tcPr>
          <w:p/>
        </w:tc>
        <w:tc>
          <w:tcPr>
            <w:tcW w:w="98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是否为同等学力人员</w:t>
            </w:r>
          </w:p>
        </w:tc>
        <w:tc>
          <w:tcPr>
            <w:tcW w:w="538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9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原报考学校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2343" w:type="dxa"/>
            <w:gridSpan w:val="6"/>
            <w:noWrap/>
            <w:vAlign w:val="center"/>
          </w:tcPr>
          <w:p/>
        </w:tc>
        <w:tc>
          <w:tcPr>
            <w:tcW w:w="1570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原报考专业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3677" w:type="dxa"/>
            <w:gridSpan w:val="6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业务课一名称及代码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业务课二名称及代码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592" w:type="dxa"/>
            <w:gridSpan w:val="1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拟调剂院系</w:t>
            </w:r>
          </w:p>
        </w:tc>
        <w:tc>
          <w:tcPr>
            <w:tcW w:w="1552" w:type="dxa"/>
            <w:gridSpan w:val="5"/>
            <w:noWrap/>
            <w:vAlign w:val="center"/>
          </w:tcPr>
          <w:p/>
        </w:tc>
        <w:tc>
          <w:tcPr>
            <w:tcW w:w="15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拟调剂专业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2009" w:type="dxa"/>
            <w:gridSpan w:val="3"/>
            <w:noWrap/>
            <w:vAlign w:val="center"/>
          </w:tcPr>
          <w:p/>
        </w:tc>
        <w:tc>
          <w:tcPr>
            <w:tcW w:w="1236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□定向</w:t>
            </w:r>
          </w:p>
          <w:p>
            <w:r>
              <w:rPr>
                <w:rFonts w:hint="eastAsia"/>
              </w:rPr>
              <w:t>□非定向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□全日制</w:t>
            </w:r>
          </w:p>
          <w:p>
            <w:r>
              <w:rPr>
                <w:rFonts w:hint="eastAsia"/>
              </w:rPr>
              <w:t>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7001" w:type="dxa"/>
            <w:gridSpan w:val="1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01" w:type="dxa"/>
            <w:gridSpan w:val="13"/>
            <w:noWrap/>
            <w:vAlign w:val="center"/>
          </w:tcPr>
          <w:p>
            <w:r>
              <w:rPr>
                <w:rFonts w:hint="eastAsia"/>
              </w:rPr>
              <w:t>固定电话： 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联系地址、邮编</w:t>
            </w:r>
          </w:p>
        </w:tc>
        <w:tc>
          <w:tcPr>
            <w:tcW w:w="7001" w:type="dxa"/>
            <w:gridSpan w:val="1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288" w:type="dxa"/>
            <w:gridSpan w:val="17"/>
            <w:noWrap/>
            <w:vAlign w:val="center"/>
          </w:tcPr>
          <w:p>
            <w:r>
              <w:rPr>
                <w:rFonts w:hint="eastAsia"/>
              </w:rPr>
              <w:t>拟调剂院系意见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签字（盖章）：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注：所有考生调剂至我校均须通过国家调剂系统申请，接受待录取通知后一律不予解锁。</w:t>
      </w:r>
    </w:p>
    <w:sectPr>
      <w:headerReference r:id="rId4" w:type="default"/>
      <w:pgSz w:w="11906" w:h="16838"/>
      <w:pgMar w:top="779" w:right="1418" w:bottom="468" w:left="1418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B6CBD"/>
    <w:multiLevelType w:val="singleLevel"/>
    <w:tmpl w:val="A62B6C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2AFED99"/>
    <w:multiLevelType w:val="singleLevel"/>
    <w:tmpl w:val="D2AFED9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1815068"/>
    <w:multiLevelType w:val="singleLevel"/>
    <w:tmpl w:val="F18150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87A9FB7"/>
    <w:multiLevelType w:val="singleLevel"/>
    <w:tmpl w:val="687A9F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54"/>
    <w:rsid w:val="00006CF9"/>
    <w:rsid w:val="000335A1"/>
    <w:rsid w:val="00034E24"/>
    <w:rsid w:val="000368E1"/>
    <w:rsid w:val="000611DF"/>
    <w:rsid w:val="00083F0F"/>
    <w:rsid w:val="000965BB"/>
    <w:rsid w:val="000B5123"/>
    <w:rsid w:val="000C7A62"/>
    <w:rsid w:val="000D1937"/>
    <w:rsid w:val="000F4BD9"/>
    <w:rsid w:val="000F5675"/>
    <w:rsid w:val="000F73CA"/>
    <w:rsid w:val="00100F14"/>
    <w:rsid w:val="00115424"/>
    <w:rsid w:val="00123C1E"/>
    <w:rsid w:val="00127FB1"/>
    <w:rsid w:val="001369F8"/>
    <w:rsid w:val="001375EF"/>
    <w:rsid w:val="00142E53"/>
    <w:rsid w:val="00146FC7"/>
    <w:rsid w:val="00152687"/>
    <w:rsid w:val="00155F4E"/>
    <w:rsid w:val="00170B90"/>
    <w:rsid w:val="001811EA"/>
    <w:rsid w:val="00191C2A"/>
    <w:rsid w:val="00195577"/>
    <w:rsid w:val="001970B9"/>
    <w:rsid w:val="001B16A4"/>
    <w:rsid w:val="001B2670"/>
    <w:rsid w:val="001B3D8C"/>
    <w:rsid w:val="001C44FA"/>
    <w:rsid w:val="001F68FE"/>
    <w:rsid w:val="001F741E"/>
    <w:rsid w:val="00211CF7"/>
    <w:rsid w:val="00223571"/>
    <w:rsid w:val="00225DD2"/>
    <w:rsid w:val="0022729D"/>
    <w:rsid w:val="0023267A"/>
    <w:rsid w:val="00284FD5"/>
    <w:rsid w:val="00290BAC"/>
    <w:rsid w:val="00291938"/>
    <w:rsid w:val="002A292B"/>
    <w:rsid w:val="002B4126"/>
    <w:rsid w:val="002C2E29"/>
    <w:rsid w:val="00302E64"/>
    <w:rsid w:val="00333F38"/>
    <w:rsid w:val="003465EE"/>
    <w:rsid w:val="003533EE"/>
    <w:rsid w:val="00356273"/>
    <w:rsid w:val="00364891"/>
    <w:rsid w:val="0036610D"/>
    <w:rsid w:val="00367FFB"/>
    <w:rsid w:val="00371A2C"/>
    <w:rsid w:val="00383015"/>
    <w:rsid w:val="00395E29"/>
    <w:rsid w:val="003A5EE4"/>
    <w:rsid w:val="003A7EB4"/>
    <w:rsid w:val="003B0779"/>
    <w:rsid w:val="003B54BB"/>
    <w:rsid w:val="003C7F39"/>
    <w:rsid w:val="004170D5"/>
    <w:rsid w:val="00426A6C"/>
    <w:rsid w:val="00430567"/>
    <w:rsid w:val="0043254A"/>
    <w:rsid w:val="00433744"/>
    <w:rsid w:val="00434A74"/>
    <w:rsid w:val="0044155C"/>
    <w:rsid w:val="0044229F"/>
    <w:rsid w:val="0044238A"/>
    <w:rsid w:val="004533FE"/>
    <w:rsid w:val="00454EBE"/>
    <w:rsid w:val="0046247F"/>
    <w:rsid w:val="00471151"/>
    <w:rsid w:val="004748E0"/>
    <w:rsid w:val="004938D9"/>
    <w:rsid w:val="004A50C2"/>
    <w:rsid w:val="004B0F35"/>
    <w:rsid w:val="004B272A"/>
    <w:rsid w:val="004C0F1B"/>
    <w:rsid w:val="004F1EF2"/>
    <w:rsid w:val="00501745"/>
    <w:rsid w:val="00525B8B"/>
    <w:rsid w:val="00535E35"/>
    <w:rsid w:val="00537589"/>
    <w:rsid w:val="00575460"/>
    <w:rsid w:val="00586D20"/>
    <w:rsid w:val="00587583"/>
    <w:rsid w:val="00597242"/>
    <w:rsid w:val="005B15AD"/>
    <w:rsid w:val="005B36CA"/>
    <w:rsid w:val="005B387F"/>
    <w:rsid w:val="005D26F2"/>
    <w:rsid w:val="005E4030"/>
    <w:rsid w:val="00607AC5"/>
    <w:rsid w:val="00624105"/>
    <w:rsid w:val="006317B9"/>
    <w:rsid w:val="00634E01"/>
    <w:rsid w:val="006473D9"/>
    <w:rsid w:val="0065166C"/>
    <w:rsid w:val="00663FF3"/>
    <w:rsid w:val="00666996"/>
    <w:rsid w:val="00671C8D"/>
    <w:rsid w:val="00680313"/>
    <w:rsid w:val="0069245E"/>
    <w:rsid w:val="006967DA"/>
    <w:rsid w:val="006A1688"/>
    <w:rsid w:val="006A6A1F"/>
    <w:rsid w:val="006C76A8"/>
    <w:rsid w:val="006E21F2"/>
    <w:rsid w:val="006F37C8"/>
    <w:rsid w:val="00700C05"/>
    <w:rsid w:val="00707B80"/>
    <w:rsid w:val="0072111F"/>
    <w:rsid w:val="00721897"/>
    <w:rsid w:val="007229B2"/>
    <w:rsid w:val="00723F0E"/>
    <w:rsid w:val="00726322"/>
    <w:rsid w:val="00727D89"/>
    <w:rsid w:val="00735882"/>
    <w:rsid w:val="00750621"/>
    <w:rsid w:val="00755EBA"/>
    <w:rsid w:val="00757A14"/>
    <w:rsid w:val="00770915"/>
    <w:rsid w:val="007A1A78"/>
    <w:rsid w:val="007A1F4C"/>
    <w:rsid w:val="007C764D"/>
    <w:rsid w:val="007F0DA0"/>
    <w:rsid w:val="007F10AD"/>
    <w:rsid w:val="007F2CF3"/>
    <w:rsid w:val="00806C77"/>
    <w:rsid w:val="008104E3"/>
    <w:rsid w:val="0082383D"/>
    <w:rsid w:val="00836277"/>
    <w:rsid w:val="008444AF"/>
    <w:rsid w:val="008458A1"/>
    <w:rsid w:val="008547F6"/>
    <w:rsid w:val="008772C5"/>
    <w:rsid w:val="00881351"/>
    <w:rsid w:val="008A3367"/>
    <w:rsid w:val="008A6308"/>
    <w:rsid w:val="008B107E"/>
    <w:rsid w:val="008C1105"/>
    <w:rsid w:val="008F40E0"/>
    <w:rsid w:val="00905176"/>
    <w:rsid w:val="00910B86"/>
    <w:rsid w:val="00930886"/>
    <w:rsid w:val="00940377"/>
    <w:rsid w:val="00946FFC"/>
    <w:rsid w:val="009510DE"/>
    <w:rsid w:val="00963D72"/>
    <w:rsid w:val="009774CB"/>
    <w:rsid w:val="00984E24"/>
    <w:rsid w:val="00991332"/>
    <w:rsid w:val="00995F6E"/>
    <w:rsid w:val="009A45A6"/>
    <w:rsid w:val="009B707C"/>
    <w:rsid w:val="009C543E"/>
    <w:rsid w:val="009E572F"/>
    <w:rsid w:val="009F1118"/>
    <w:rsid w:val="00A0347A"/>
    <w:rsid w:val="00A217D9"/>
    <w:rsid w:val="00A3046F"/>
    <w:rsid w:val="00A3755E"/>
    <w:rsid w:val="00A4011E"/>
    <w:rsid w:val="00A4732B"/>
    <w:rsid w:val="00A527E9"/>
    <w:rsid w:val="00A52C2C"/>
    <w:rsid w:val="00A61B55"/>
    <w:rsid w:val="00A64CF3"/>
    <w:rsid w:val="00A74190"/>
    <w:rsid w:val="00A92F7B"/>
    <w:rsid w:val="00AC67E6"/>
    <w:rsid w:val="00B003B0"/>
    <w:rsid w:val="00B01F46"/>
    <w:rsid w:val="00B21503"/>
    <w:rsid w:val="00B2229C"/>
    <w:rsid w:val="00B26C88"/>
    <w:rsid w:val="00B47222"/>
    <w:rsid w:val="00B61842"/>
    <w:rsid w:val="00BA208B"/>
    <w:rsid w:val="00BA667A"/>
    <w:rsid w:val="00BC5A1C"/>
    <w:rsid w:val="00BC5D26"/>
    <w:rsid w:val="00BE2C67"/>
    <w:rsid w:val="00BF1CE3"/>
    <w:rsid w:val="00BF4BE2"/>
    <w:rsid w:val="00C0531C"/>
    <w:rsid w:val="00C147FC"/>
    <w:rsid w:val="00C24B24"/>
    <w:rsid w:val="00C30834"/>
    <w:rsid w:val="00C308EB"/>
    <w:rsid w:val="00C3320B"/>
    <w:rsid w:val="00C4454F"/>
    <w:rsid w:val="00C4587D"/>
    <w:rsid w:val="00C46BCA"/>
    <w:rsid w:val="00C47613"/>
    <w:rsid w:val="00C6288B"/>
    <w:rsid w:val="00C741EB"/>
    <w:rsid w:val="00C754A3"/>
    <w:rsid w:val="00C77DA5"/>
    <w:rsid w:val="00C80254"/>
    <w:rsid w:val="00C93235"/>
    <w:rsid w:val="00CA6DDE"/>
    <w:rsid w:val="00CB4F18"/>
    <w:rsid w:val="00CE2574"/>
    <w:rsid w:val="00CF54AA"/>
    <w:rsid w:val="00D06A54"/>
    <w:rsid w:val="00D21107"/>
    <w:rsid w:val="00D22806"/>
    <w:rsid w:val="00D2562C"/>
    <w:rsid w:val="00D349F4"/>
    <w:rsid w:val="00D566FA"/>
    <w:rsid w:val="00D60165"/>
    <w:rsid w:val="00D72AFE"/>
    <w:rsid w:val="00D766F4"/>
    <w:rsid w:val="00D94815"/>
    <w:rsid w:val="00D95ED8"/>
    <w:rsid w:val="00DC4ABC"/>
    <w:rsid w:val="00DC57FE"/>
    <w:rsid w:val="00DF7610"/>
    <w:rsid w:val="00E25E7A"/>
    <w:rsid w:val="00E32ECE"/>
    <w:rsid w:val="00E335C6"/>
    <w:rsid w:val="00E351D5"/>
    <w:rsid w:val="00E35C97"/>
    <w:rsid w:val="00E66B6D"/>
    <w:rsid w:val="00E7060A"/>
    <w:rsid w:val="00EA226C"/>
    <w:rsid w:val="00EF7793"/>
    <w:rsid w:val="00F0106A"/>
    <w:rsid w:val="00F234F1"/>
    <w:rsid w:val="00F308B1"/>
    <w:rsid w:val="00F43628"/>
    <w:rsid w:val="00F53138"/>
    <w:rsid w:val="00F53FC7"/>
    <w:rsid w:val="00F75213"/>
    <w:rsid w:val="00F80B12"/>
    <w:rsid w:val="00F823E8"/>
    <w:rsid w:val="00F86004"/>
    <w:rsid w:val="00FA1A17"/>
    <w:rsid w:val="00FB4358"/>
    <w:rsid w:val="00FB6460"/>
    <w:rsid w:val="00FC19B5"/>
    <w:rsid w:val="00FE69C3"/>
    <w:rsid w:val="00FF4A02"/>
    <w:rsid w:val="00FF6CE7"/>
    <w:rsid w:val="03C013D6"/>
    <w:rsid w:val="078B567D"/>
    <w:rsid w:val="1EA7515C"/>
    <w:rsid w:val="24BF61AC"/>
    <w:rsid w:val="28824EB6"/>
    <w:rsid w:val="2F78798B"/>
    <w:rsid w:val="365348E9"/>
    <w:rsid w:val="3A3E73AC"/>
    <w:rsid w:val="3E585E4F"/>
    <w:rsid w:val="512F24BD"/>
    <w:rsid w:val="5DCF2A0D"/>
    <w:rsid w:val="632D6BAA"/>
    <w:rsid w:val="64820ECB"/>
    <w:rsid w:val="677A68F2"/>
    <w:rsid w:val="77AE4885"/>
    <w:rsid w:val="7EFF7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xsk</Company>
  <Pages>4</Pages>
  <Words>313</Words>
  <Characters>1786</Characters>
  <Lines>14</Lines>
  <Paragraphs>4</Paragraphs>
  <TotalTime>7</TotalTime>
  <ScaleCrop>false</ScaleCrop>
  <LinksUpToDate>false</LinksUpToDate>
  <CharactersWithSpaces>2095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2020-05-06T07:48:00Z</dcterms:created>
  <dc:creator>zsl</dc:creator>
  <cp:lastModifiedBy>无处非中</cp:lastModifiedBy>
  <cp:lastPrinted>2020-05-18T05:47:00Z</cp:lastPrinted>
  <dcterms:modified xsi:type="dcterms:W3CDTF">2021-03-28T03:42:30Z</dcterms:modified>
  <dc:title>关于表彰2006级新生军训先进集体和个人的决定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835CA45151A84B66ACABDDC9E31DB1C1</vt:lpwstr>
  </property>
</Properties>
</file>